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3534" w14:textId="73755C46" w:rsidR="003F4616" w:rsidRDefault="003F4616" w:rsidP="003F4616">
      <w:pPr>
        <w:jc w:val="right"/>
        <w:rPr>
          <w:rFonts w:ascii="Tahoma" w:hAnsi="Tahoma" w:cs="Tahoma"/>
          <w:sz w:val="28"/>
          <w:szCs w:val="28"/>
        </w:rPr>
      </w:pPr>
    </w:p>
    <w:p w14:paraId="7D93DD8F" w14:textId="77777777" w:rsidR="00AE2905" w:rsidRPr="003F4616" w:rsidRDefault="00AE2905" w:rsidP="005D07A9">
      <w:pPr>
        <w:jc w:val="center"/>
        <w:rPr>
          <w:rFonts w:ascii="Tahoma" w:hAnsi="Tahoma" w:cs="Tahoma"/>
          <w:sz w:val="32"/>
          <w:szCs w:val="32"/>
        </w:rPr>
      </w:pPr>
      <w:r w:rsidRPr="003F4616">
        <w:rPr>
          <w:rFonts w:ascii="Tahoma" w:hAnsi="Tahoma" w:cs="Tahoma"/>
          <w:sz w:val="32"/>
          <w:szCs w:val="32"/>
        </w:rPr>
        <w:t>Questions Board Members Should Be Asking About Key Person Life Insurance That Is More Than Five Years Old.</w:t>
      </w:r>
      <w:r w:rsidR="005D07A9" w:rsidRPr="003F4616">
        <w:rPr>
          <w:rFonts w:ascii="Tahoma" w:hAnsi="Tahoma" w:cs="Tahoma"/>
          <w:sz w:val="32"/>
          <w:szCs w:val="32"/>
        </w:rPr>
        <w:t xml:space="preserve"> </w:t>
      </w:r>
    </w:p>
    <w:p w14:paraId="2CA7B6B4" w14:textId="77777777" w:rsidR="0021125A" w:rsidRPr="0021125A" w:rsidRDefault="0021125A" w:rsidP="008940DA">
      <w:pPr>
        <w:spacing w:after="0" w:line="357" w:lineRule="atLeast"/>
        <w:jc w:val="both"/>
        <w:textAlignment w:val="baseline"/>
        <w:rPr>
          <w:rFonts w:ascii="&amp;quot" w:eastAsia="Times New Roman" w:hAnsi="&amp;quot" w:cs="Times New Roman"/>
          <w:color w:val="666666"/>
          <w:sz w:val="21"/>
          <w:szCs w:val="21"/>
        </w:rPr>
      </w:pPr>
    </w:p>
    <w:p w14:paraId="3918E5B1" w14:textId="77777777" w:rsidR="00CB3213" w:rsidRPr="004B2CD7" w:rsidRDefault="00CB3213">
      <w:pPr>
        <w:rPr>
          <w:b/>
          <w:sz w:val="24"/>
        </w:rPr>
      </w:pPr>
      <w:r w:rsidRPr="004B2CD7">
        <w:rPr>
          <w:b/>
          <w:sz w:val="24"/>
        </w:rPr>
        <w:t>Summary:</w:t>
      </w:r>
      <w:bookmarkStart w:id="0" w:name="_GoBack"/>
      <w:bookmarkEnd w:id="0"/>
    </w:p>
    <w:p w14:paraId="0B308A06" w14:textId="77777777" w:rsidR="003E781C" w:rsidRPr="004B2CD7" w:rsidRDefault="003907C2" w:rsidP="003E781C">
      <w:pPr>
        <w:autoSpaceDE w:val="0"/>
        <w:autoSpaceDN w:val="0"/>
        <w:adjustRightInd w:val="0"/>
        <w:spacing w:after="0" w:line="240" w:lineRule="auto"/>
        <w:rPr>
          <w:rFonts w:cstheme="minorHAnsi"/>
          <w:color w:val="001221"/>
          <w:sz w:val="24"/>
          <w:szCs w:val="20"/>
        </w:rPr>
      </w:pPr>
      <w:r w:rsidRPr="004B2CD7">
        <w:rPr>
          <w:rFonts w:cstheme="minorHAnsi"/>
          <w:color w:val="001221"/>
          <w:sz w:val="24"/>
          <w:szCs w:val="20"/>
        </w:rPr>
        <w:t>In the event of the death or disability of a key</w:t>
      </w:r>
      <w:r w:rsidR="003E781C" w:rsidRPr="004B2CD7">
        <w:rPr>
          <w:rFonts w:cstheme="minorHAnsi"/>
          <w:color w:val="001221"/>
          <w:sz w:val="24"/>
          <w:szCs w:val="20"/>
        </w:rPr>
        <w:t xml:space="preserve"> </w:t>
      </w:r>
      <w:r w:rsidRPr="004B2CD7">
        <w:rPr>
          <w:rFonts w:cstheme="minorHAnsi"/>
          <w:color w:val="001221"/>
          <w:sz w:val="24"/>
          <w:szCs w:val="20"/>
        </w:rPr>
        <w:t>employee would your</w:t>
      </w:r>
      <w:r w:rsidR="003E781C" w:rsidRPr="004B2CD7">
        <w:rPr>
          <w:rFonts w:cstheme="minorHAnsi"/>
          <w:color w:val="001221"/>
          <w:sz w:val="24"/>
          <w:szCs w:val="20"/>
        </w:rPr>
        <w:t xml:space="preserve"> </w:t>
      </w:r>
      <w:r w:rsidRPr="004B2CD7">
        <w:rPr>
          <w:rFonts w:cstheme="minorHAnsi"/>
          <w:color w:val="001221"/>
          <w:sz w:val="24"/>
          <w:szCs w:val="20"/>
        </w:rPr>
        <w:t>business be as successful as it is today?</w:t>
      </w:r>
      <w:r w:rsidR="007657D8" w:rsidRPr="004B2CD7">
        <w:rPr>
          <w:rFonts w:cstheme="minorHAnsi"/>
          <w:color w:val="001221"/>
          <w:sz w:val="24"/>
          <w:szCs w:val="20"/>
        </w:rPr>
        <w:t xml:space="preserve">  </w:t>
      </w:r>
      <w:r w:rsidRPr="004B2CD7">
        <w:rPr>
          <w:rFonts w:cstheme="minorHAnsi"/>
          <w:color w:val="001221"/>
          <w:sz w:val="24"/>
          <w:szCs w:val="20"/>
        </w:rPr>
        <w:t xml:space="preserve">Key </w:t>
      </w:r>
      <w:r w:rsidR="003E781C" w:rsidRPr="004B2CD7">
        <w:rPr>
          <w:rFonts w:cstheme="minorHAnsi"/>
          <w:color w:val="001221"/>
          <w:sz w:val="24"/>
          <w:szCs w:val="20"/>
        </w:rPr>
        <w:t>person life and disability insurance are designed to</w:t>
      </w:r>
      <w:r w:rsidRPr="004B2CD7">
        <w:rPr>
          <w:rFonts w:cstheme="minorHAnsi"/>
          <w:color w:val="001221"/>
          <w:sz w:val="24"/>
          <w:szCs w:val="20"/>
        </w:rPr>
        <w:t xml:space="preserve"> </w:t>
      </w:r>
      <w:r w:rsidR="003E781C" w:rsidRPr="004B2CD7">
        <w:rPr>
          <w:rFonts w:cstheme="minorHAnsi"/>
          <w:color w:val="001221"/>
          <w:sz w:val="24"/>
          <w:szCs w:val="20"/>
        </w:rPr>
        <w:t xml:space="preserve">help you and your company </w:t>
      </w:r>
      <w:r w:rsidRPr="004B2CD7">
        <w:rPr>
          <w:rFonts w:cstheme="minorHAnsi"/>
          <w:color w:val="001221"/>
          <w:sz w:val="24"/>
          <w:szCs w:val="20"/>
        </w:rPr>
        <w:t>prepare for the unexpected</w:t>
      </w:r>
      <w:r w:rsidR="003E781C" w:rsidRPr="004B2CD7">
        <w:rPr>
          <w:rFonts w:cstheme="minorHAnsi"/>
          <w:color w:val="001221"/>
          <w:sz w:val="24"/>
          <w:szCs w:val="20"/>
        </w:rPr>
        <w:t>.</w:t>
      </w:r>
    </w:p>
    <w:p w14:paraId="602BD009" w14:textId="77777777" w:rsidR="003E781C" w:rsidRPr="004B2CD7" w:rsidRDefault="003E781C" w:rsidP="003E781C">
      <w:pPr>
        <w:autoSpaceDE w:val="0"/>
        <w:autoSpaceDN w:val="0"/>
        <w:adjustRightInd w:val="0"/>
        <w:spacing w:after="0" w:line="240" w:lineRule="auto"/>
        <w:rPr>
          <w:rFonts w:cstheme="minorHAnsi"/>
          <w:sz w:val="28"/>
        </w:rPr>
      </w:pPr>
    </w:p>
    <w:p w14:paraId="0BD8CA88" w14:textId="77777777" w:rsidR="003907C2" w:rsidRPr="004B2CD7" w:rsidRDefault="007A7622" w:rsidP="003E781C">
      <w:pPr>
        <w:autoSpaceDE w:val="0"/>
        <w:autoSpaceDN w:val="0"/>
        <w:adjustRightInd w:val="0"/>
        <w:spacing w:after="0" w:line="240" w:lineRule="auto"/>
        <w:rPr>
          <w:sz w:val="24"/>
        </w:rPr>
      </w:pPr>
      <w:r w:rsidRPr="004B2CD7">
        <w:rPr>
          <w:sz w:val="24"/>
        </w:rPr>
        <w:t>The purpose of this paper is not to make recom</w:t>
      </w:r>
      <w:r w:rsidR="00FF0069" w:rsidRPr="004B2CD7">
        <w:rPr>
          <w:sz w:val="24"/>
        </w:rPr>
        <w:t>men</w:t>
      </w:r>
      <w:r w:rsidRPr="004B2CD7">
        <w:rPr>
          <w:sz w:val="24"/>
        </w:rPr>
        <w:t>dations, but rather ask the important questions</w:t>
      </w:r>
      <w:r w:rsidR="00FF0069" w:rsidRPr="004B2CD7">
        <w:rPr>
          <w:sz w:val="24"/>
        </w:rPr>
        <w:t xml:space="preserve"> that will allow Boards to make informed decisions with regards to their company’s </w:t>
      </w:r>
      <w:r w:rsidR="004B0438" w:rsidRPr="004B2CD7">
        <w:rPr>
          <w:sz w:val="24"/>
        </w:rPr>
        <w:t>K</w:t>
      </w:r>
      <w:r w:rsidR="003907C2" w:rsidRPr="004B2CD7">
        <w:rPr>
          <w:sz w:val="24"/>
        </w:rPr>
        <w:t xml:space="preserve">ey </w:t>
      </w:r>
      <w:r w:rsidR="004B0438" w:rsidRPr="004B2CD7">
        <w:rPr>
          <w:sz w:val="24"/>
        </w:rPr>
        <w:t>P</w:t>
      </w:r>
      <w:r w:rsidR="003907C2" w:rsidRPr="004B2CD7">
        <w:rPr>
          <w:sz w:val="24"/>
        </w:rPr>
        <w:t xml:space="preserve">erson </w:t>
      </w:r>
      <w:r w:rsidR="00FF0069" w:rsidRPr="004B2CD7">
        <w:rPr>
          <w:sz w:val="24"/>
        </w:rPr>
        <w:t xml:space="preserve">insurance assets.  </w:t>
      </w:r>
    </w:p>
    <w:p w14:paraId="16DE6E0B" w14:textId="77777777" w:rsidR="007657D8" w:rsidRPr="004B2CD7" w:rsidRDefault="007657D8" w:rsidP="003E781C">
      <w:pPr>
        <w:autoSpaceDE w:val="0"/>
        <w:autoSpaceDN w:val="0"/>
        <w:adjustRightInd w:val="0"/>
        <w:spacing w:after="0" w:line="240" w:lineRule="auto"/>
        <w:rPr>
          <w:sz w:val="24"/>
        </w:rPr>
      </w:pPr>
    </w:p>
    <w:p w14:paraId="6E305D08" w14:textId="77777777" w:rsidR="005444B1" w:rsidRPr="004B2CD7" w:rsidRDefault="005444B1" w:rsidP="005444B1">
      <w:pPr>
        <w:autoSpaceDE w:val="0"/>
        <w:autoSpaceDN w:val="0"/>
        <w:adjustRightInd w:val="0"/>
        <w:spacing w:after="0" w:line="240" w:lineRule="auto"/>
        <w:rPr>
          <w:rFonts w:cstheme="minorHAnsi"/>
          <w:b/>
          <w:bCs/>
          <w:color w:val="000000"/>
          <w:sz w:val="24"/>
        </w:rPr>
      </w:pPr>
      <w:r w:rsidRPr="004B2CD7">
        <w:rPr>
          <w:rFonts w:cstheme="minorHAnsi"/>
          <w:b/>
          <w:bCs/>
          <w:color w:val="000000"/>
          <w:sz w:val="24"/>
        </w:rPr>
        <w:t>What is Key Person Insurance?</w:t>
      </w:r>
    </w:p>
    <w:p w14:paraId="506DEF38" w14:textId="77777777" w:rsidR="001C72D1" w:rsidRPr="004B2CD7" w:rsidRDefault="005444B1" w:rsidP="00F80A48">
      <w:pPr>
        <w:autoSpaceDE w:val="0"/>
        <w:autoSpaceDN w:val="0"/>
        <w:adjustRightInd w:val="0"/>
        <w:spacing w:after="0" w:line="240" w:lineRule="auto"/>
        <w:rPr>
          <w:rFonts w:cstheme="minorHAnsi"/>
          <w:sz w:val="24"/>
        </w:rPr>
      </w:pPr>
      <w:r w:rsidRPr="004B2CD7">
        <w:rPr>
          <w:rFonts w:cstheme="minorHAnsi"/>
          <w:color w:val="000000"/>
          <w:sz w:val="24"/>
        </w:rPr>
        <w:t>Key Person Insurance is a life</w:t>
      </w:r>
      <w:r w:rsidR="00F80A48" w:rsidRPr="004B2CD7">
        <w:rPr>
          <w:rFonts w:cstheme="minorHAnsi"/>
          <w:color w:val="000000"/>
          <w:sz w:val="24"/>
        </w:rPr>
        <w:t xml:space="preserve"> or disability</w:t>
      </w:r>
      <w:r w:rsidRPr="004B2CD7">
        <w:rPr>
          <w:rFonts w:cstheme="minorHAnsi"/>
          <w:color w:val="000000"/>
          <w:sz w:val="24"/>
        </w:rPr>
        <w:t xml:space="preserve"> insurance policy purchased by an employer on the life of a critical employee to help protect the business</w:t>
      </w:r>
      <w:r w:rsidR="003907C2" w:rsidRPr="004B2CD7">
        <w:rPr>
          <w:rFonts w:cstheme="minorHAnsi"/>
          <w:color w:val="000000"/>
          <w:sz w:val="24"/>
        </w:rPr>
        <w:t xml:space="preserve"> </w:t>
      </w:r>
      <w:r w:rsidRPr="004B2CD7">
        <w:rPr>
          <w:rFonts w:cstheme="minorHAnsi"/>
          <w:color w:val="000000"/>
          <w:sz w:val="24"/>
        </w:rPr>
        <w:t>from the financial loss resulting from that employee’s death</w:t>
      </w:r>
      <w:r w:rsidR="00F80A48" w:rsidRPr="004B2CD7">
        <w:rPr>
          <w:rFonts w:cstheme="minorHAnsi"/>
          <w:color w:val="000000"/>
          <w:sz w:val="24"/>
        </w:rPr>
        <w:t xml:space="preserve"> or disability</w:t>
      </w:r>
      <w:r w:rsidRPr="004B2CD7">
        <w:rPr>
          <w:rFonts w:cstheme="minorHAnsi"/>
          <w:color w:val="000000"/>
          <w:sz w:val="24"/>
        </w:rPr>
        <w:t>. Policy proceeds can be used to recruit, hire, and train a replacement.</w:t>
      </w:r>
      <w:r w:rsidR="00F80A48" w:rsidRPr="004B2CD7">
        <w:rPr>
          <w:rFonts w:cstheme="minorHAnsi"/>
          <w:color w:val="000000"/>
          <w:sz w:val="24"/>
        </w:rPr>
        <w:t xml:space="preserve">  K</w:t>
      </w:r>
      <w:r w:rsidRPr="004B2CD7">
        <w:rPr>
          <w:rFonts w:cstheme="minorHAnsi"/>
          <w:color w:val="000000"/>
          <w:sz w:val="24"/>
        </w:rPr>
        <w:t>ey</w:t>
      </w:r>
      <w:r w:rsidR="003907C2" w:rsidRPr="004B2CD7">
        <w:rPr>
          <w:rFonts w:cstheme="minorHAnsi"/>
          <w:color w:val="000000"/>
          <w:sz w:val="24"/>
        </w:rPr>
        <w:t xml:space="preserve"> </w:t>
      </w:r>
      <w:r w:rsidRPr="004B2CD7">
        <w:rPr>
          <w:rFonts w:cstheme="minorHAnsi"/>
          <w:color w:val="000000"/>
          <w:sz w:val="24"/>
        </w:rPr>
        <w:t xml:space="preserve">Person </w:t>
      </w:r>
      <w:r w:rsidR="004B0438" w:rsidRPr="004B2CD7">
        <w:rPr>
          <w:rFonts w:cstheme="minorHAnsi"/>
          <w:color w:val="000000"/>
          <w:sz w:val="24"/>
        </w:rPr>
        <w:t>i</w:t>
      </w:r>
      <w:r w:rsidRPr="004B2CD7">
        <w:rPr>
          <w:rFonts w:cstheme="minorHAnsi"/>
          <w:color w:val="000000"/>
          <w:sz w:val="24"/>
        </w:rPr>
        <w:t xml:space="preserve">nsurance </w:t>
      </w:r>
      <w:r w:rsidR="00F80A48" w:rsidRPr="004B2CD7">
        <w:rPr>
          <w:rFonts w:cstheme="minorHAnsi"/>
          <w:color w:val="000000"/>
          <w:sz w:val="24"/>
        </w:rPr>
        <w:t xml:space="preserve">also </w:t>
      </w:r>
      <w:r w:rsidRPr="004B2CD7">
        <w:rPr>
          <w:rFonts w:cstheme="minorHAnsi"/>
          <w:color w:val="000000"/>
          <w:sz w:val="24"/>
        </w:rPr>
        <w:t>provide</w:t>
      </w:r>
      <w:r w:rsidR="00F80A48" w:rsidRPr="004B2CD7">
        <w:rPr>
          <w:rFonts w:cstheme="minorHAnsi"/>
          <w:color w:val="000000"/>
          <w:sz w:val="24"/>
        </w:rPr>
        <w:t>s</w:t>
      </w:r>
      <w:r w:rsidRPr="004B2CD7">
        <w:rPr>
          <w:rFonts w:cstheme="minorHAnsi"/>
          <w:color w:val="000000"/>
          <w:sz w:val="24"/>
        </w:rPr>
        <w:t xml:space="preserve"> a cash cushion </w:t>
      </w:r>
      <w:r w:rsidR="00F80A48" w:rsidRPr="004B2CD7">
        <w:rPr>
          <w:rFonts w:cstheme="minorHAnsi"/>
          <w:color w:val="000000"/>
          <w:sz w:val="24"/>
        </w:rPr>
        <w:t xml:space="preserve">to </w:t>
      </w:r>
      <w:r w:rsidRPr="004B2CD7">
        <w:rPr>
          <w:rFonts w:cstheme="minorHAnsi"/>
          <w:color w:val="000000"/>
          <w:sz w:val="24"/>
        </w:rPr>
        <w:t>help creditors, employees, and shareholders remain comfortable about the business’s long-term stability and viability.</w:t>
      </w:r>
      <w:r w:rsidR="001C72D1" w:rsidRPr="004B2CD7">
        <w:rPr>
          <w:rFonts w:cstheme="minorHAnsi"/>
          <w:color w:val="464646"/>
          <w:sz w:val="24"/>
        </w:rPr>
        <w:t xml:space="preserve"> </w:t>
      </w:r>
    </w:p>
    <w:p w14:paraId="247F262A" w14:textId="77777777" w:rsidR="005444B1" w:rsidRPr="004B2CD7" w:rsidRDefault="005444B1" w:rsidP="005444B1">
      <w:pPr>
        <w:autoSpaceDE w:val="0"/>
        <w:autoSpaceDN w:val="0"/>
        <w:adjustRightInd w:val="0"/>
        <w:spacing w:after="0" w:line="240" w:lineRule="auto"/>
        <w:rPr>
          <w:rFonts w:cstheme="minorHAnsi"/>
          <w:color w:val="000000"/>
          <w:sz w:val="24"/>
        </w:rPr>
      </w:pPr>
    </w:p>
    <w:p w14:paraId="3CE7E589" w14:textId="77777777" w:rsidR="005444B1" w:rsidRPr="004B2CD7" w:rsidRDefault="005444B1" w:rsidP="005444B1">
      <w:pPr>
        <w:autoSpaceDE w:val="0"/>
        <w:autoSpaceDN w:val="0"/>
        <w:adjustRightInd w:val="0"/>
        <w:spacing w:after="0" w:line="240" w:lineRule="auto"/>
        <w:rPr>
          <w:rFonts w:cstheme="minorHAnsi"/>
          <w:b/>
          <w:bCs/>
          <w:color w:val="000000"/>
          <w:sz w:val="24"/>
        </w:rPr>
      </w:pPr>
      <w:r w:rsidRPr="004B2CD7">
        <w:rPr>
          <w:rFonts w:cstheme="minorHAnsi"/>
          <w:b/>
          <w:bCs/>
          <w:color w:val="000000"/>
          <w:sz w:val="24"/>
        </w:rPr>
        <w:t xml:space="preserve">How </w:t>
      </w:r>
      <w:r w:rsidR="00F27811" w:rsidRPr="004B2CD7">
        <w:rPr>
          <w:rFonts w:cstheme="minorHAnsi"/>
          <w:b/>
          <w:bCs/>
          <w:color w:val="000000"/>
          <w:sz w:val="24"/>
        </w:rPr>
        <w:t>wa</w:t>
      </w:r>
      <w:r w:rsidRPr="004B2CD7">
        <w:rPr>
          <w:rFonts w:cstheme="minorHAnsi"/>
          <w:b/>
          <w:bCs/>
          <w:color w:val="000000"/>
          <w:sz w:val="24"/>
        </w:rPr>
        <w:t>s the amount of Key Person coverage determined?</w:t>
      </w:r>
    </w:p>
    <w:p w14:paraId="275D8F2A" w14:textId="77777777" w:rsidR="005444B1" w:rsidRPr="004B2CD7" w:rsidRDefault="00CE2354" w:rsidP="00CE2354">
      <w:pPr>
        <w:pStyle w:val="NoSpacing"/>
        <w:rPr>
          <w:rFonts w:cstheme="minorHAnsi"/>
          <w:color w:val="000000"/>
          <w:sz w:val="24"/>
        </w:rPr>
      </w:pPr>
      <w:r w:rsidRPr="004B2CD7">
        <w:rPr>
          <w:sz w:val="24"/>
        </w:rPr>
        <w:t xml:space="preserve">Is it a fixed amount?  Is it formulaic and tied to some financial target? </w:t>
      </w:r>
      <w:r w:rsidR="005444B1" w:rsidRPr="004B2CD7">
        <w:rPr>
          <w:rFonts w:cstheme="minorHAnsi"/>
          <w:color w:val="000000"/>
          <w:sz w:val="24"/>
        </w:rPr>
        <w:t xml:space="preserve">It depends on what the business stands to lose at the death </w:t>
      </w:r>
      <w:r w:rsidR="001C74AD" w:rsidRPr="004B2CD7">
        <w:rPr>
          <w:rFonts w:cstheme="minorHAnsi"/>
          <w:color w:val="000000"/>
          <w:sz w:val="24"/>
        </w:rPr>
        <w:t xml:space="preserve">or disability </w:t>
      </w:r>
      <w:r w:rsidR="005444B1" w:rsidRPr="004B2CD7">
        <w:rPr>
          <w:rFonts w:cstheme="minorHAnsi"/>
          <w:color w:val="000000"/>
          <w:sz w:val="24"/>
        </w:rPr>
        <w:t>of the key person. There are a number of valuation methods utilized in</w:t>
      </w:r>
      <w:r w:rsidR="003907C2" w:rsidRPr="004B2CD7">
        <w:rPr>
          <w:rFonts w:cstheme="minorHAnsi"/>
          <w:color w:val="000000"/>
          <w:sz w:val="24"/>
        </w:rPr>
        <w:t xml:space="preserve"> </w:t>
      </w:r>
      <w:r w:rsidR="005444B1" w:rsidRPr="004B2CD7">
        <w:rPr>
          <w:rFonts w:cstheme="minorHAnsi"/>
          <w:color w:val="000000"/>
          <w:sz w:val="24"/>
        </w:rPr>
        <w:t>assessing this loss. They include:</w:t>
      </w:r>
    </w:p>
    <w:p w14:paraId="4B4A024B" w14:textId="77777777" w:rsidR="005444B1" w:rsidRPr="004B2CD7" w:rsidRDefault="005444B1" w:rsidP="00CE2354">
      <w:pPr>
        <w:pStyle w:val="NoSpacing"/>
        <w:rPr>
          <w:rFonts w:cstheme="minorHAnsi"/>
          <w:color w:val="000000"/>
          <w:sz w:val="24"/>
        </w:rPr>
      </w:pPr>
      <w:r w:rsidRPr="004B2CD7">
        <w:rPr>
          <w:rFonts w:cstheme="minorHAnsi"/>
          <w:color w:val="000000"/>
          <w:sz w:val="24"/>
        </w:rPr>
        <w:t>• Loss of Business Value</w:t>
      </w:r>
    </w:p>
    <w:p w14:paraId="7146CE63" w14:textId="77777777" w:rsidR="005444B1" w:rsidRPr="004B2CD7" w:rsidRDefault="005444B1" w:rsidP="00CE2354">
      <w:pPr>
        <w:pStyle w:val="NoSpacing"/>
        <w:rPr>
          <w:rFonts w:cstheme="minorHAnsi"/>
          <w:color w:val="000000"/>
          <w:sz w:val="24"/>
        </w:rPr>
      </w:pPr>
      <w:r w:rsidRPr="004B2CD7">
        <w:rPr>
          <w:rFonts w:cstheme="minorHAnsi"/>
          <w:color w:val="000000"/>
          <w:sz w:val="24"/>
        </w:rPr>
        <w:t>• Loss of Excess Earnings</w:t>
      </w:r>
    </w:p>
    <w:p w14:paraId="44688F52" w14:textId="77777777" w:rsidR="005444B1" w:rsidRPr="004B2CD7" w:rsidRDefault="005444B1" w:rsidP="00CE2354">
      <w:pPr>
        <w:pStyle w:val="NoSpacing"/>
        <w:rPr>
          <w:rFonts w:cstheme="minorHAnsi"/>
          <w:color w:val="000000"/>
          <w:sz w:val="24"/>
        </w:rPr>
      </w:pPr>
      <w:r w:rsidRPr="004B2CD7">
        <w:rPr>
          <w:rFonts w:cstheme="minorHAnsi"/>
          <w:color w:val="000000"/>
          <w:sz w:val="24"/>
        </w:rPr>
        <w:t>• Cost to Replace Experience</w:t>
      </w:r>
    </w:p>
    <w:p w14:paraId="7A4F113B" w14:textId="77777777" w:rsidR="005444B1" w:rsidRPr="004B2CD7" w:rsidRDefault="005444B1" w:rsidP="00CE2354">
      <w:pPr>
        <w:pStyle w:val="NoSpacing"/>
        <w:rPr>
          <w:rFonts w:cstheme="minorHAnsi"/>
          <w:color w:val="000000"/>
          <w:sz w:val="24"/>
        </w:rPr>
      </w:pPr>
      <w:r w:rsidRPr="004B2CD7">
        <w:rPr>
          <w:rFonts w:cstheme="minorHAnsi"/>
          <w:color w:val="000000"/>
          <w:sz w:val="24"/>
        </w:rPr>
        <w:t>• Cost to Replace Contributions</w:t>
      </w:r>
    </w:p>
    <w:p w14:paraId="4654F979" w14:textId="77777777" w:rsidR="005444B1" w:rsidRPr="004B2CD7" w:rsidRDefault="005444B1" w:rsidP="005444B1">
      <w:pPr>
        <w:autoSpaceDE w:val="0"/>
        <w:autoSpaceDN w:val="0"/>
        <w:adjustRightInd w:val="0"/>
        <w:spacing w:after="0" w:line="240" w:lineRule="auto"/>
        <w:rPr>
          <w:rFonts w:cstheme="minorHAnsi"/>
          <w:color w:val="000000"/>
          <w:sz w:val="24"/>
        </w:rPr>
      </w:pPr>
      <w:r w:rsidRPr="004B2CD7">
        <w:rPr>
          <w:rFonts w:cstheme="minorHAnsi"/>
          <w:color w:val="000000"/>
          <w:sz w:val="24"/>
        </w:rPr>
        <w:t>• Cost to Replace Lost Sales Profits</w:t>
      </w:r>
    </w:p>
    <w:p w14:paraId="44F3664E" w14:textId="77777777" w:rsidR="005444B1" w:rsidRPr="004B2CD7" w:rsidRDefault="005444B1" w:rsidP="005444B1">
      <w:pPr>
        <w:autoSpaceDE w:val="0"/>
        <w:autoSpaceDN w:val="0"/>
        <w:adjustRightInd w:val="0"/>
        <w:spacing w:after="0" w:line="240" w:lineRule="auto"/>
        <w:rPr>
          <w:rFonts w:cstheme="minorHAnsi"/>
          <w:color w:val="000000"/>
          <w:sz w:val="24"/>
        </w:rPr>
      </w:pPr>
      <w:r w:rsidRPr="004B2CD7">
        <w:rPr>
          <w:rFonts w:cstheme="minorHAnsi"/>
          <w:color w:val="000000"/>
          <w:sz w:val="24"/>
        </w:rPr>
        <w:t>• Multiple of Salary</w:t>
      </w:r>
    </w:p>
    <w:p w14:paraId="48A8A5E3" w14:textId="77777777" w:rsidR="00CE2354" w:rsidRPr="004B2CD7" w:rsidRDefault="00CE2354" w:rsidP="005444B1">
      <w:pPr>
        <w:autoSpaceDE w:val="0"/>
        <w:autoSpaceDN w:val="0"/>
        <w:adjustRightInd w:val="0"/>
        <w:spacing w:after="0" w:line="240" w:lineRule="auto"/>
        <w:rPr>
          <w:rFonts w:cstheme="minorHAnsi"/>
          <w:color w:val="000000"/>
          <w:sz w:val="24"/>
        </w:rPr>
      </w:pPr>
    </w:p>
    <w:p w14:paraId="08F0D05B" w14:textId="77777777" w:rsidR="007657D8" w:rsidRPr="004B2CD7" w:rsidRDefault="00F27811" w:rsidP="005444B1">
      <w:pPr>
        <w:autoSpaceDE w:val="0"/>
        <w:autoSpaceDN w:val="0"/>
        <w:adjustRightInd w:val="0"/>
        <w:spacing w:after="0" w:line="240" w:lineRule="auto"/>
        <w:rPr>
          <w:rFonts w:cstheme="minorHAnsi"/>
          <w:b/>
          <w:color w:val="000000"/>
          <w:sz w:val="24"/>
        </w:rPr>
      </w:pPr>
      <w:r w:rsidRPr="004B2CD7">
        <w:rPr>
          <w:rFonts w:cstheme="minorHAnsi"/>
          <w:b/>
          <w:color w:val="000000"/>
          <w:sz w:val="24"/>
        </w:rPr>
        <w:t>Is the amount of Key Person coverage still appropriate?</w:t>
      </w:r>
    </w:p>
    <w:p w14:paraId="1975F333" w14:textId="77777777" w:rsidR="00F27811" w:rsidRPr="004B2CD7" w:rsidRDefault="00F27811" w:rsidP="005444B1">
      <w:pPr>
        <w:autoSpaceDE w:val="0"/>
        <w:autoSpaceDN w:val="0"/>
        <w:adjustRightInd w:val="0"/>
        <w:spacing w:after="0" w:line="240" w:lineRule="auto"/>
        <w:rPr>
          <w:rFonts w:cstheme="minorHAnsi"/>
          <w:color w:val="000000"/>
          <w:sz w:val="24"/>
        </w:rPr>
      </w:pPr>
      <w:r w:rsidRPr="004B2CD7">
        <w:rPr>
          <w:sz w:val="24"/>
        </w:rPr>
        <w:t>Economic conditions</w:t>
      </w:r>
      <w:r w:rsidR="004B0438" w:rsidRPr="004B2CD7">
        <w:rPr>
          <w:sz w:val="24"/>
        </w:rPr>
        <w:t>, employment contracts</w:t>
      </w:r>
      <w:r w:rsidR="001C74AD" w:rsidRPr="004B2CD7">
        <w:rPr>
          <w:sz w:val="24"/>
        </w:rPr>
        <w:t>, etc.</w:t>
      </w:r>
      <w:r w:rsidR="004B0438" w:rsidRPr="004B2CD7">
        <w:rPr>
          <w:sz w:val="24"/>
        </w:rPr>
        <w:t xml:space="preserve"> </w:t>
      </w:r>
      <w:r w:rsidRPr="004B2CD7">
        <w:rPr>
          <w:sz w:val="24"/>
        </w:rPr>
        <w:t>make it prudent to review these arrangements to ensure they’re still performing as expected and will provide the desired liquidity, protection, and cash flow.</w:t>
      </w:r>
    </w:p>
    <w:p w14:paraId="5CFFB195" w14:textId="77777777" w:rsidR="000C5ED6" w:rsidRPr="004B2CD7" w:rsidRDefault="000C5ED6" w:rsidP="005444B1">
      <w:pPr>
        <w:autoSpaceDE w:val="0"/>
        <w:autoSpaceDN w:val="0"/>
        <w:adjustRightInd w:val="0"/>
        <w:spacing w:after="0" w:line="240" w:lineRule="auto"/>
        <w:rPr>
          <w:rFonts w:cstheme="minorHAnsi"/>
          <w:color w:val="000000"/>
          <w:sz w:val="24"/>
        </w:rPr>
      </w:pPr>
    </w:p>
    <w:p w14:paraId="584C9AF6" w14:textId="77777777" w:rsidR="00FF0069" w:rsidRPr="004B2CD7" w:rsidRDefault="00FF0069" w:rsidP="004B0438">
      <w:pPr>
        <w:pStyle w:val="NoSpacing"/>
        <w:rPr>
          <w:b/>
          <w:sz w:val="24"/>
        </w:rPr>
      </w:pPr>
      <w:r w:rsidRPr="004B2CD7">
        <w:rPr>
          <w:b/>
          <w:sz w:val="24"/>
        </w:rPr>
        <w:t>Is there a written agreement or company policy detailing the purpose of the insurance?</w:t>
      </w:r>
    </w:p>
    <w:p w14:paraId="0DE1B68C" w14:textId="77777777" w:rsidR="004B0438" w:rsidRPr="004B2CD7" w:rsidRDefault="004B0438" w:rsidP="004B0438">
      <w:pPr>
        <w:pStyle w:val="NoSpacing"/>
        <w:rPr>
          <w:sz w:val="24"/>
        </w:rPr>
      </w:pPr>
      <w:r w:rsidRPr="004B2CD7">
        <w:rPr>
          <w:sz w:val="24"/>
        </w:rPr>
        <w:t xml:space="preserve">It’s important there </w:t>
      </w:r>
      <w:r w:rsidR="000248F7" w:rsidRPr="004B2CD7">
        <w:rPr>
          <w:sz w:val="24"/>
        </w:rPr>
        <w:t>is</w:t>
      </w:r>
      <w:r w:rsidRPr="004B2CD7">
        <w:rPr>
          <w:sz w:val="24"/>
        </w:rPr>
        <w:t xml:space="preserve"> a clear purpose for the use of the funds</w:t>
      </w:r>
      <w:r w:rsidR="000248F7" w:rsidRPr="004B2CD7">
        <w:rPr>
          <w:sz w:val="24"/>
        </w:rPr>
        <w:t xml:space="preserve"> in writing.</w:t>
      </w:r>
    </w:p>
    <w:p w14:paraId="2724D0E8" w14:textId="77777777" w:rsidR="004B0438" w:rsidRPr="004B2CD7" w:rsidRDefault="004B0438" w:rsidP="007A7622">
      <w:pPr>
        <w:rPr>
          <w:sz w:val="24"/>
        </w:rPr>
      </w:pPr>
    </w:p>
    <w:p w14:paraId="4A6F2906" w14:textId="77777777" w:rsidR="005E1A5C" w:rsidRPr="004B2CD7" w:rsidRDefault="007A7622" w:rsidP="00E46220">
      <w:pPr>
        <w:pStyle w:val="NoSpacing"/>
        <w:rPr>
          <w:b/>
          <w:sz w:val="24"/>
        </w:rPr>
      </w:pPr>
      <w:r w:rsidRPr="004B2CD7">
        <w:rPr>
          <w:b/>
          <w:sz w:val="24"/>
        </w:rPr>
        <w:t xml:space="preserve">Is there a need for </w:t>
      </w:r>
      <w:r w:rsidR="00F27811" w:rsidRPr="004B2CD7">
        <w:rPr>
          <w:b/>
          <w:sz w:val="24"/>
        </w:rPr>
        <w:t>K</w:t>
      </w:r>
      <w:r w:rsidRPr="004B2CD7">
        <w:rPr>
          <w:b/>
          <w:sz w:val="24"/>
        </w:rPr>
        <w:t xml:space="preserve">ey </w:t>
      </w:r>
      <w:r w:rsidR="00F27811" w:rsidRPr="004B2CD7">
        <w:rPr>
          <w:b/>
          <w:sz w:val="24"/>
        </w:rPr>
        <w:t>Person</w:t>
      </w:r>
      <w:r w:rsidRPr="004B2CD7">
        <w:rPr>
          <w:b/>
          <w:sz w:val="24"/>
        </w:rPr>
        <w:t xml:space="preserve"> disability protection?</w:t>
      </w:r>
    </w:p>
    <w:p w14:paraId="2585B5BB" w14:textId="77777777" w:rsidR="00E46220" w:rsidRPr="004B2CD7" w:rsidRDefault="00E46220" w:rsidP="00E46220">
      <w:pPr>
        <w:pStyle w:val="NoSpacing"/>
        <w:rPr>
          <w:sz w:val="24"/>
        </w:rPr>
      </w:pPr>
      <w:r w:rsidRPr="004B2CD7">
        <w:rPr>
          <w:sz w:val="24"/>
        </w:rPr>
        <w:lastRenderedPageBreak/>
        <w:t>The probability of disability is much higher than the probability of death.  Would the company suffer financially from the extended disability of a Key Person?  If so, there are Key Person disability policies designed to pay a lump sum</w:t>
      </w:r>
      <w:r w:rsidR="004B0438" w:rsidRPr="004B2CD7">
        <w:rPr>
          <w:sz w:val="24"/>
        </w:rPr>
        <w:t xml:space="preserve"> amount to the company.</w:t>
      </w:r>
    </w:p>
    <w:p w14:paraId="159985A7" w14:textId="77777777" w:rsidR="00E46220" w:rsidRPr="004B2CD7" w:rsidRDefault="00E46220" w:rsidP="00E46220">
      <w:pPr>
        <w:pStyle w:val="NoSpacing"/>
        <w:rPr>
          <w:sz w:val="24"/>
        </w:rPr>
      </w:pPr>
    </w:p>
    <w:p w14:paraId="3DA90C6B" w14:textId="77777777" w:rsidR="004B00F2" w:rsidRPr="004B2CD7" w:rsidRDefault="007A7622" w:rsidP="004B00F2">
      <w:pPr>
        <w:pStyle w:val="NoSpacing"/>
        <w:rPr>
          <w:b/>
          <w:sz w:val="24"/>
        </w:rPr>
      </w:pPr>
      <w:r w:rsidRPr="004B2CD7">
        <w:rPr>
          <w:b/>
          <w:sz w:val="24"/>
        </w:rPr>
        <w:t xml:space="preserve">Are the correct people insured? </w:t>
      </w:r>
    </w:p>
    <w:p w14:paraId="194E39EB" w14:textId="77777777" w:rsidR="007A7622" w:rsidRPr="004B2CD7" w:rsidRDefault="004B00F2" w:rsidP="004B00F2">
      <w:pPr>
        <w:pStyle w:val="NoSpacing"/>
        <w:rPr>
          <w:sz w:val="24"/>
        </w:rPr>
      </w:pPr>
      <w:r w:rsidRPr="004B2CD7">
        <w:rPr>
          <w:sz w:val="24"/>
        </w:rPr>
        <w:t>Key Person insurance should be considered on any senior level executive</w:t>
      </w:r>
      <w:r w:rsidR="00A56999" w:rsidRPr="004B2CD7">
        <w:rPr>
          <w:sz w:val="24"/>
        </w:rPr>
        <w:t xml:space="preserve"> whose death or disability could potentially create a financial hardship for the company.</w:t>
      </w:r>
    </w:p>
    <w:p w14:paraId="6910A610" w14:textId="77777777" w:rsidR="00E46220" w:rsidRPr="004B2CD7" w:rsidRDefault="00E46220" w:rsidP="00E46220">
      <w:pPr>
        <w:pStyle w:val="NoSpacing"/>
        <w:rPr>
          <w:sz w:val="24"/>
        </w:rPr>
      </w:pPr>
    </w:p>
    <w:p w14:paraId="7CFCF17B" w14:textId="77777777" w:rsidR="00C53FA3" w:rsidRPr="004B2CD7" w:rsidRDefault="00C53FA3" w:rsidP="00C53FA3">
      <w:pPr>
        <w:pStyle w:val="NoSpacing"/>
        <w:rPr>
          <w:b/>
          <w:sz w:val="24"/>
        </w:rPr>
      </w:pPr>
      <w:r w:rsidRPr="004B2CD7">
        <w:rPr>
          <w:b/>
          <w:sz w:val="24"/>
        </w:rPr>
        <w:t>Is the policy structured so the benefit will be received tax-free by the company?</w:t>
      </w:r>
    </w:p>
    <w:p w14:paraId="0EC8FE23" w14:textId="77777777" w:rsidR="00C53FA3" w:rsidRPr="004B2CD7" w:rsidRDefault="00C53FA3" w:rsidP="00C53FA3">
      <w:pPr>
        <w:autoSpaceDE w:val="0"/>
        <w:autoSpaceDN w:val="0"/>
        <w:adjustRightInd w:val="0"/>
        <w:spacing w:after="0" w:line="240" w:lineRule="auto"/>
        <w:rPr>
          <w:rFonts w:cstheme="minorHAnsi"/>
          <w:color w:val="000000"/>
          <w:sz w:val="24"/>
        </w:rPr>
      </w:pPr>
      <w:r w:rsidRPr="004B2CD7">
        <w:rPr>
          <w:rFonts w:cstheme="minorHAnsi"/>
          <w:color w:val="000000"/>
          <w:sz w:val="24"/>
        </w:rPr>
        <w:t>The business should pay the premiums and be the owner and beneficiary</w:t>
      </w:r>
      <w:r w:rsidR="00A9400D" w:rsidRPr="004B2CD7">
        <w:rPr>
          <w:rFonts w:cstheme="minorHAnsi"/>
          <w:color w:val="000000"/>
          <w:sz w:val="24"/>
        </w:rPr>
        <w:t xml:space="preserve"> of the policy</w:t>
      </w:r>
      <w:r w:rsidRPr="004B2CD7">
        <w:rPr>
          <w:rFonts w:cstheme="minorHAnsi"/>
          <w:color w:val="000000"/>
          <w:sz w:val="24"/>
        </w:rPr>
        <w:t>. The premiums are a non-deductible business expense.  The benefit will be taxable</w:t>
      </w:r>
      <w:r w:rsidR="00A9400D" w:rsidRPr="004B2CD7">
        <w:rPr>
          <w:rFonts w:cstheme="minorHAnsi"/>
          <w:color w:val="000000"/>
          <w:sz w:val="24"/>
        </w:rPr>
        <w:t xml:space="preserve"> income</w:t>
      </w:r>
      <w:r w:rsidRPr="004B2CD7">
        <w:rPr>
          <w:rFonts w:cstheme="minorHAnsi"/>
          <w:color w:val="000000"/>
          <w:sz w:val="24"/>
        </w:rPr>
        <w:t xml:space="preserve"> if the company deducts the premiums.</w:t>
      </w:r>
    </w:p>
    <w:p w14:paraId="4FCA4155" w14:textId="77777777" w:rsidR="000248F7" w:rsidRPr="004B2CD7" w:rsidRDefault="000248F7" w:rsidP="000248F7">
      <w:pPr>
        <w:pStyle w:val="Pa0"/>
        <w:rPr>
          <w:rFonts w:asciiTheme="minorHAnsi" w:hAnsiTheme="minorHAnsi" w:cstheme="minorHAnsi"/>
          <w:b/>
          <w:szCs w:val="22"/>
        </w:rPr>
      </w:pPr>
    </w:p>
    <w:p w14:paraId="1D3931B3" w14:textId="77777777" w:rsidR="000248F7" w:rsidRPr="004B2CD7" w:rsidRDefault="000248F7" w:rsidP="000248F7">
      <w:pPr>
        <w:pStyle w:val="Pa0"/>
        <w:rPr>
          <w:rFonts w:asciiTheme="minorHAnsi" w:hAnsiTheme="minorHAnsi" w:cstheme="minorHAnsi"/>
          <w:b/>
          <w:bCs/>
          <w:color w:val="000000"/>
          <w:szCs w:val="22"/>
        </w:rPr>
      </w:pPr>
      <w:r w:rsidRPr="004B2CD7">
        <w:rPr>
          <w:rFonts w:asciiTheme="minorHAnsi" w:hAnsiTheme="minorHAnsi" w:cstheme="minorHAnsi"/>
          <w:b/>
          <w:szCs w:val="22"/>
        </w:rPr>
        <w:t>Are you compliant with</w:t>
      </w:r>
      <w:r w:rsidRPr="004B2CD7">
        <w:rPr>
          <w:rFonts w:asciiTheme="minorHAnsi" w:hAnsiTheme="minorHAnsi" w:cstheme="minorHAnsi"/>
          <w:b/>
          <w:color w:val="000000"/>
          <w:szCs w:val="22"/>
        </w:rPr>
        <w:t xml:space="preserve"> IRC § 101(</w:t>
      </w:r>
      <w:r w:rsidRPr="004B2CD7">
        <w:rPr>
          <w:rFonts w:asciiTheme="minorHAnsi" w:hAnsiTheme="minorHAnsi" w:cstheme="minorHAnsi"/>
          <w:b/>
          <w:bCs/>
          <w:color w:val="000000"/>
          <w:szCs w:val="22"/>
        </w:rPr>
        <w:t xml:space="preserve">j)? </w:t>
      </w:r>
    </w:p>
    <w:p w14:paraId="36344F02" w14:textId="77777777" w:rsidR="000248F7" w:rsidRPr="004B2CD7" w:rsidRDefault="000248F7" w:rsidP="000248F7">
      <w:pPr>
        <w:pStyle w:val="Pa0"/>
        <w:rPr>
          <w:rFonts w:asciiTheme="minorHAnsi" w:hAnsiTheme="minorHAnsi" w:cstheme="minorHAnsi"/>
          <w:color w:val="000000"/>
          <w:szCs w:val="22"/>
        </w:rPr>
      </w:pPr>
      <w:r w:rsidRPr="004B2CD7">
        <w:rPr>
          <w:rStyle w:val="A0"/>
          <w:rFonts w:asciiTheme="minorHAnsi" w:hAnsiTheme="minorHAnsi" w:cstheme="minorHAnsi"/>
          <w:sz w:val="24"/>
          <w:szCs w:val="22"/>
        </w:rPr>
        <w:t xml:space="preserve">IRC § 101(j) applies to any employer-owned life insurance policies issued or materially changed after August 17, 2006. Failure to comply could cause the death benefit to be taxable.  There are two basic requirements: (a) Notice and Consent and (b) Employee Status. </w:t>
      </w:r>
    </w:p>
    <w:p w14:paraId="0FC7D54C" w14:textId="77777777" w:rsidR="000248F7" w:rsidRPr="004B2CD7" w:rsidRDefault="000248F7" w:rsidP="000248F7">
      <w:pPr>
        <w:pStyle w:val="Pa1"/>
        <w:ind w:left="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a. Notice and Consent </w:t>
      </w:r>
    </w:p>
    <w:p w14:paraId="004E88B9" w14:textId="77777777" w:rsidR="000248F7" w:rsidRPr="004B2CD7" w:rsidRDefault="000248F7" w:rsidP="000248F7">
      <w:pPr>
        <w:pStyle w:val="Pa1"/>
        <w:ind w:left="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Notice: The employer must provide written notification to the employee that the employer: </w:t>
      </w:r>
    </w:p>
    <w:p w14:paraId="5FDFD8F4" w14:textId="77777777" w:rsidR="000248F7" w:rsidRPr="004B2CD7" w:rsidRDefault="000248F7" w:rsidP="000248F7">
      <w:pPr>
        <w:pStyle w:val="Pa2"/>
        <w:ind w:left="108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(1) Intends to insure the employee’s life </w:t>
      </w:r>
    </w:p>
    <w:p w14:paraId="2992E7E1" w14:textId="77777777" w:rsidR="000248F7" w:rsidRPr="004B2CD7" w:rsidRDefault="000248F7" w:rsidP="000248F7">
      <w:pPr>
        <w:pStyle w:val="Pa2"/>
        <w:ind w:left="108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(2) The maximum face amount for which the employee could be insured at the time the contract was issued, and </w:t>
      </w:r>
    </w:p>
    <w:p w14:paraId="03D65F6F" w14:textId="77777777" w:rsidR="000248F7" w:rsidRPr="004B2CD7" w:rsidRDefault="000248F7" w:rsidP="000248F7">
      <w:pPr>
        <w:pStyle w:val="Pa2"/>
        <w:ind w:left="108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(3) That the employer will be a beneficiary of any proceeds payable upon the death of the employee. </w:t>
      </w:r>
    </w:p>
    <w:p w14:paraId="5217DDBF" w14:textId="77777777" w:rsidR="000248F7" w:rsidRPr="004B2CD7" w:rsidRDefault="000248F7" w:rsidP="000248F7">
      <w:pPr>
        <w:pStyle w:val="Pa1"/>
        <w:ind w:left="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Consent: The employer must secure written consent from the employee prior to issue. </w:t>
      </w:r>
    </w:p>
    <w:p w14:paraId="78A2B99B" w14:textId="77777777" w:rsidR="000248F7" w:rsidRPr="004B2CD7" w:rsidRDefault="000248F7" w:rsidP="000248F7">
      <w:pPr>
        <w:pStyle w:val="Pa3"/>
        <w:ind w:left="72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b. Employee Status </w:t>
      </w:r>
    </w:p>
    <w:p w14:paraId="15B76B9E" w14:textId="77777777" w:rsidR="000248F7" w:rsidRPr="004B2CD7" w:rsidRDefault="000248F7" w:rsidP="000248F7">
      <w:pPr>
        <w:pStyle w:val="Pa1"/>
        <w:ind w:left="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At the time of application, the insured must have one of the following titles in order for the death benefit to remain tax free: </w:t>
      </w:r>
    </w:p>
    <w:p w14:paraId="38A84D10" w14:textId="77777777" w:rsidR="000248F7" w:rsidRPr="004B2CD7" w:rsidRDefault="000248F7" w:rsidP="000248F7">
      <w:pPr>
        <w:pStyle w:val="Pa2"/>
        <w:ind w:left="108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(1) Director </w:t>
      </w:r>
    </w:p>
    <w:p w14:paraId="2BA12F49" w14:textId="77777777" w:rsidR="000248F7" w:rsidRPr="004B2CD7" w:rsidRDefault="000248F7" w:rsidP="000248F7">
      <w:pPr>
        <w:pStyle w:val="Pa2"/>
        <w:ind w:left="1080" w:hanging="360"/>
        <w:rPr>
          <w:rFonts w:asciiTheme="minorHAnsi" w:hAnsiTheme="minorHAnsi" w:cstheme="minorHAnsi"/>
          <w:color w:val="000000"/>
          <w:szCs w:val="22"/>
        </w:rPr>
      </w:pPr>
      <w:r w:rsidRPr="004B2CD7">
        <w:rPr>
          <w:rStyle w:val="A0"/>
          <w:rFonts w:asciiTheme="minorHAnsi" w:hAnsiTheme="minorHAnsi" w:cstheme="minorHAnsi"/>
          <w:sz w:val="24"/>
          <w:szCs w:val="22"/>
        </w:rPr>
        <w:t xml:space="preserve">(2) Highly Compensated Employee </w:t>
      </w:r>
    </w:p>
    <w:p w14:paraId="619FE081" w14:textId="77777777" w:rsidR="000248F7" w:rsidRDefault="000248F7" w:rsidP="000248F7">
      <w:pPr>
        <w:pStyle w:val="Pa2"/>
        <w:ind w:left="1080" w:hanging="360"/>
        <w:rPr>
          <w:rStyle w:val="A0"/>
          <w:rFonts w:asciiTheme="minorHAnsi" w:hAnsiTheme="minorHAnsi" w:cstheme="minorHAnsi"/>
          <w:sz w:val="24"/>
          <w:szCs w:val="22"/>
        </w:rPr>
      </w:pPr>
      <w:r w:rsidRPr="004B2CD7">
        <w:rPr>
          <w:rStyle w:val="A0"/>
          <w:rFonts w:asciiTheme="minorHAnsi" w:hAnsiTheme="minorHAnsi" w:cstheme="minorHAnsi"/>
          <w:sz w:val="24"/>
          <w:szCs w:val="22"/>
        </w:rPr>
        <w:t xml:space="preserve">(3) Highly Compensated Individual </w:t>
      </w:r>
    </w:p>
    <w:p w14:paraId="4D749EA9" w14:textId="77777777" w:rsidR="00CA4F23" w:rsidRPr="00CA4F23" w:rsidRDefault="00CA4F23" w:rsidP="00CA4F23">
      <w:pPr>
        <w:pStyle w:val="Default"/>
      </w:pPr>
    </w:p>
    <w:p w14:paraId="0DF7A585" w14:textId="77777777" w:rsidR="00E04B7A" w:rsidRPr="004B2CD7" w:rsidRDefault="007A7622" w:rsidP="000248F7">
      <w:pPr>
        <w:pStyle w:val="NoSpacing"/>
        <w:rPr>
          <w:b/>
          <w:sz w:val="24"/>
        </w:rPr>
      </w:pPr>
      <w:r w:rsidRPr="004B2CD7">
        <w:rPr>
          <w:b/>
          <w:sz w:val="24"/>
        </w:rPr>
        <w:t>What is the current h</w:t>
      </w:r>
      <w:r w:rsidR="00494CAD" w:rsidRPr="004B2CD7">
        <w:rPr>
          <w:b/>
          <w:sz w:val="24"/>
        </w:rPr>
        <w:t xml:space="preserve">ealth of </w:t>
      </w:r>
      <w:r w:rsidR="00A9400D" w:rsidRPr="004B2CD7">
        <w:rPr>
          <w:b/>
          <w:sz w:val="24"/>
        </w:rPr>
        <w:t xml:space="preserve">the </w:t>
      </w:r>
      <w:r w:rsidR="00494CAD" w:rsidRPr="004B2CD7">
        <w:rPr>
          <w:b/>
          <w:sz w:val="24"/>
        </w:rPr>
        <w:t>insured</w:t>
      </w:r>
      <w:r w:rsidR="000248F7" w:rsidRPr="004B2CD7">
        <w:rPr>
          <w:b/>
          <w:sz w:val="24"/>
        </w:rPr>
        <w:t>(s)</w:t>
      </w:r>
      <w:r w:rsidRPr="004B2CD7">
        <w:rPr>
          <w:b/>
          <w:sz w:val="24"/>
        </w:rPr>
        <w:t>?</w:t>
      </w:r>
    </w:p>
    <w:p w14:paraId="709596E9" w14:textId="77777777" w:rsidR="000248F7" w:rsidRPr="004B2CD7" w:rsidRDefault="000248F7" w:rsidP="000248F7">
      <w:pPr>
        <w:pStyle w:val="NoSpacing"/>
        <w:rPr>
          <w:sz w:val="24"/>
        </w:rPr>
      </w:pPr>
      <w:r w:rsidRPr="004B2CD7">
        <w:rPr>
          <w:sz w:val="24"/>
        </w:rPr>
        <w:t xml:space="preserve">Has the executive’s health declined (or improved) since the policy was issued?  If the insured’s health has improved (lost weight, quit smoking, etc.) the company may save money by reapplying for a better rating.  If the insured’s health has declined it is important to review the </w:t>
      </w:r>
      <w:r w:rsidR="001C74AD" w:rsidRPr="004B2CD7">
        <w:rPr>
          <w:sz w:val="24"/>
        </w:rPr>
        <w:t>guarantee period, conversion features, etc.</w:t>
      </w:r>
    </w:p>
    <w:p w14:paraId="35CB604E" w14:textId="77777777" w:rsidR="000248F7" w:rsidRPr="004B2CD7" w:rsidRDefault="000248F7" w:rsidP="000248F7">
      <w:pPr>
        <w:pStyle w:val="NoSpacing"/>
        <w:rPr>
          <w:sz w:val="24"/>
        </w:rPr>
      </w:pPr>
    </w:p>
    <w:p w14:paraId="75454856" w14:textId="77777777" w:rsidR="00F15BA0" w:rsidRDefault="00F15BA0" w:rsidP="00C53FA3">
      <w:pPr>
        <w:pStyle w:val="NoSpacing"/>
        <w:rPr>
          <w:b/>
          <w:sz w:val="24"/>
        </w:rPr>
      </w:pPr>
    </w:p>
    <w:p w14:paraId="563A6D52" w14:textId="60569955" w:rsidR="00494CAD" w:rsidRPr="004B2CD7" w:rsidRDefault="007A7622" w:rsidP="00C53FA3">
      <w:pPr>
        <w:pStyle w:val="NoSpacing"/>
        <w:rPr>
          <w:b/>
          <w:sz w:val="24"/>
        </w:rPr>
      </w:pPr>
      <w:r w:rsidRPr="004B2CD7">
        <w:rPr>
          <w:b/>
          <w:sz w:val="24"/>
        </w:rPr>
        <w:t xml:space="preserve">What are the </w:t>
      </w:r>
      <w:r w:rsidR="001C74AD" w:rsidRPr="004B2CD7">
        <w:rPr>
          <w:b/>
          <w:sz w:val="24"/>
        </w:rPr>
        <w:t>c</w:t>
      </w:r>
      <w:r w:rsidR="00494CAD" w:rsidRPr="004B2CD7">
        <w:rPr>
          <w:b/>
          <w:sz w:val="24"/>
        </w:rPr>
        <w:t>onvertibility options/rights</w:t>
      </w:r>
      <w:r w:rsidR="003907C2" w:rsidRPr="004B2CD7">
        <w:rPr>
          <w:b/>
          <w:sz w:val="24"/>
        </w:rPr>
        <w:t xml:space="preserve"> of the insurance policy</w:t>
      </w:r>
      <w:r w:rsidRPr="004B2CD7">
        <w:rPr>
          <w:b/>
          <w:sz w:val="24"/>
        </w:rPr>
        <w:t>?</w:t>
      </w:r>
    </w:p>
    <w:p w14:paraId="1A80CC97" w14:textId="77777777" w:rsidR="00C53FA3" w:rsidRPr="004B2CD7" w:rsidRDefault="00C53FA3" w:rsidP="00C53FA3">
      <w:pPr>
        <w:pStyle w:val="NoSpacing"/>
        <w:rPr>
          <w:sz w:val="24"/>
        </w:rPr>
      </w:pPr>
      <w:r w:rsidRPr="004B2CD7">
        <w:rPr>
          <w:sz w:val="24"/>
        </w:rPr>
        <w:t xml:space="preserve">If the Key Person life insurance is term, the ability to convert it to a permanent policy without proof of insurability could be a very valuable </w:t>
      </w:r>
      <w:r w:rsidR="00CE0B38" w:rsidRPr="004B2CD7">
        <w:rPr>
          <w:sz w:val="24"/>
        </w:rPr>
        <w:t xml:space="preserve">feature.  </w:t>
      </w:r>
      <w:r w:rsidR="00A9400D" w:rsidRPr="004B2CD7">
        <w:rPr>
          <w:sz w:val="24"/>
        </w:rPr>
        <w:t xml:space="preserve">Some policies are convertible for the full premium guarantee period. Some policies may only be convertible for the first 5 or 10 years.  </w:t>
      </w:r>
    </w:p>
    <w:p w14:paraId="5A35829D" w14:textId="77777777" w:rsidR="00C53FA3" w:rsidRPr="004B2CD7" w:rsidRDefault="00C53FA3" w:rsidP="00C53FA3">
      <w:pPr>
        <w:pStyle w:val="NoSpacing"/>
        <w:rPr>
          <w:sz w:val="24"/>
        </w:rPr>
      </w:pPr>
    </w:p>
    <w:p w14:paraId="51E09EFF" w14:textId="77777777" w:rsidR="00E04B7A" w:rsidRPr="004B2CD7" w:rsidRDefault="00E04B7A" w:rsidP="00B628AA">
      <w:pPr>
        <w:pStyle w:val="NoSpacing"/>
        <w:rPr>
          <w:b/>
          <w:sz w:val="24"/>
        </w:rPr>
      </w:pPr>
      <w:r w:rsidRPr="004B2CD7">
        <w:rPr>
          <w:b/>
          <w:sz w:val="24"/>
        </w:rPr>
        <w:lastRenderedPageBreak/>
        <w:t xml:space="preserve">How long is </w:t>
      </w:r>
      <w:r w:rsidR="007A7622" w:rsidRPr="004B2CD7">
        <w:rPr>
          <w:b/>
          <w:sz w:val="24"/>
        </w:rPr>
        <w:t>the policy</w:t>
      </w:r>
      <w:r w:rsidRPr="004B2CD7">
        <w:rPr>
          <w:b/>
          <w:sz w:val="24"/>
        </w:rPr>
        <w:t xml:space="preserve"> needed?</w:t>
      </w:r>
    </w:p>
    <w:p w14:paraId="31406DEF" w14:textId="77777777" w:rsidR="00B628AA" w:rsidRPr="004B2CD7" w:rsidRDefault="00B628AA" w:rsidP="00B628AA">
      <w:pPr>
        <w:pStyle w:val="NoSpacing"/>
        <w:rPr>
          <w:sz w:val="24"/>
        </w:rPr>
      </w:pPr>
      <w:r w:rsidRPr="004B2CD7">
        <w:rPr>
          <w:sz w:val="24"/>
        </w:rPr>
        <w:t>Is the policy designed to provide coverage for the anticipated length of time the coverage is needed?  Most Key Person policies are term insurance.  There are situations whe</w:t>
      </w:r>
      <w:r w:rsidR="00F25903" w:rsidRPr="004B2CD7">
        <w:rPr>
          <w:sz w:val="24"/>
        </w:rPr>
        <w:t>n the coverage is needed for longer periods of time, or where the policy can also be used as a “golden handcuff” when permanent insurance is more suitable.</w:t>
      </w:r>
    </w:p>
    <w:p w14:paraId="0FC646BD" w14:textId="77777777" w:rsidR="00B628AA" w:rsidRPr="004B2CD7" w:rsidRDefault="00B628AA" w:rsidP="00B628AA">
      <w:pPr>
        <w:pStyle w:val="NoSpacing"/>
        <w:rPr>
          <w:sz w:val="24"/>
        </w:rPr>
      </w:pPr>
    </w:p>
    <w:p w14:paraId="44947D21" w14:textId="77777777" w:rsidR="00E04B7A" w:rsidRPr="004B2CD7" w:rsidRDefault="00E04B7A" w:rsidP="00B628AA">
      <w:pPr>
        <w:pStyle w:val="NoSpacing"/>
        <w:rPr>
          <w:b/>
          <w:sz w:val="24"/>
        </w:rPr>
      </w:pPr>
      <w:r w:rsidRPr="004B2CD7">
        <w:rPr>
          <w:b/>
          <w:sz w:val="24"/>
        </w:rPr>
        <w:t xml:space="preserve">What </w:t>
      </w:r>
      <w:r w:rsidR="00B628AA" w:rsidRPr="004B2CD7">
        <w:rPr>
          <w:b/>
          <w:sz w:val="24"/>
        </w:rPr>
        <w:t>should you</w:t>
      </w:r>
      <w:r w:rsidRPr="004B2CD7">
        <w:rPr>
          <w:b/>
          <w:sz w:val="24"/>
        </w:rPr>
        <w:t xml:space="preserve"> do with the policy </w:t>
      </w:r>
      <w:r w:rsidR="00F61241" w:rsidRPr="004B2CD7">
        <w:rPr>
          <w:b/>
          <w:sz w:val="24"/>
        </w:rPr>
        <w:t>when the executive</w:t>
      </w:r>
      <w:r w:rsidRPr="004B2CD7">
        <w:rPr>
          <w:b/>
          <w:sz w:val="24"/>
        </w:rPr>
        <w:t xml:space="preserve"> retire</w:t>
      </w:r>
      <w:r w:rsidR="00F61241" w:rsidRPr="004B2CD7">
        <w:rPr>
          <w:b/>
          <w:sz w:val="24"/>
        </w:rPr>
        <w:t>s</w:t>
      </w:r>
      <w:r w:rsidRPr="004B2CD7">
        <w:rPr>
          <w:b/>
          <w:sz w:val="24"/>
        </w:rPr>
        <w:t xml:space="preserve"> or leav</w:t>
      </w:r>
      <w:r w:rsidR="00F61241" w:rsidRPr="004B2CD7">
        <w:rPr>
          <w:b/>
          <w:sz w:val="24"/>
        </w:rPr>
        <w:t>es</w:t>
      </w:r>
      <w:r w:rsidRPr="004B2CD7">
        <w:rPr>
          <w:b/>
          <w:sz w:val="24"/>
        </w:rPr>
        <w:t xml:space="preserve"> the company?</w:t>
      </w:r>
    </w:p>
    <w:p w14:paraId="0F9124DF" w14:textId="77777777" w:rsidR="00B628AA" w:rsidRPr="004B2CD7" w:rsidRDefault="00B628AA" w:rsidP="00B628AA">
      <w:pPr>
        <w:pStyle w:val="NoSpacing"/>
        <w:rPr>
          <w:sz w:val="24"/>
        </w:rPr>
      </w:pPr>
      <w:r w:rsidRPr="004B2CD7">
        <w:rPr>
          <w:sz w:val="24"/>
        </w:rPr>
        <w:t>Many term policies are allowed to lapse when the executive retires or leaves the company.  There may be substantial value in the policy to both the company and</w:t>
      </w:r>
      <w:r w:rsidR="00F61241" w:rsidRPr="004B2CD7">
        <w:rPr>
          <w:sz w:val="24"/>
        </w:rPr>
        <w:t>/or</w:t>
      </w:r>
      <w:r w:rsidRPr="004B2CD7">
        <w:rPr>
          <w:sz w:val="24"/>
        </w:rPr>
        <w:t xml:space="preserve"> executive</w:t>
      </w:r>
      <w:r w:rsidR="00F61241" w:rsidRPr="004B2CD7">
        <w:rPr>
          <w:sz w:val="24"/>
        </w:rPr>
        <w:t xml:space="preserve">.  If the executive would have trouble purchasing new insurance due to age or health impairments, the company may consider retaining the policy as a company asset or selling the policy in the secondary market.  The company could also transfer (gift/sell) the policy to the insured.  It is very important to </w:t>
      </w:r>
      <w:r w:rsidR="00CE2354" w:rsidRPr="004B2CD7">
        <w:rPr>
          <w:sz w:val="24"/>
        </w:rPr>
        <w:t xml:space="preserve">be aware of </w:t>
      </w:r>
      <w:r w:rsidR="00F61241" w:rsidRPr="004B2CD7">
        <w:rPr>
          <w:sz w:val="24"/>
        </w:rPr>
        <w:t>“</w:t>
      </w:r>
      <w:r w:rsidRPr="004B2CD7">
        <w:rPr>
          <w:sz w:val="24"/>
        </w:rPr>
        <w:t xml:space="preserve">Transfer for </w:t>
      </w:r>
      <w:r w:rsidR="00F61241" w:rsidRPr="004B2CD7">
        <w:rPr>
          <w:sz w:val="24"/>
        </w:rPr>
        <w:t>V</w:t>
      </w:r>
      <w:r w:rsidRPr="004B2CD7">
        <w:rPr>
          <w:sz w:val="24"/>
        </w:rPr>
        <w:t>alue</w:t>
      </w:r>
      <w:r w:rsidR="00F61241" w:rsidRPr="004B2CD7">
        <w:rPr>
          <w:sz w:val="24"/>
        </w:rPr>
        <w:t xml:space="preserve">” </w:t>
      </w:r>
      <w:r w:rsidR="00CE2354" w:rsidRPr="004B2CD7">
        <w:rPr>
          <w:sz w:val="24"/>
        </w:rPr>
        <w:t>considerations.</w:t>
      </w:r>
    </w:p>
    <w:p w14:paraId="4E40363C" w14:textId="77777777" w:rsidR="003F4616" w:rsidRPr="004B2CD7" w:rsidRDefault="003F4616" w:rsidP="003F4616">
      <w:pPr>
        <w:pStyle w:val="Heading4"/>
        <w:spacing w:before="0" w:line="540" w:lineRule="atLeast"/>
        <w:jc w:val="both"/>
        <w:textAlignment w:val="baseline"/>
        <w:rPr>
          <w:rFonts w:ascii="&amp;quot" w:eastAsia="Times New Roman" w:hAnsi="&amp;quot" w:cs="Times New Roman"/>
          <w:i w:val="0"/>
          <w:iCs w:val="0"/>
          <w:color w:val="333333"/>
          <w:sz w:val="29"/>
          <w:szCs w:val="27"/>
        </w:rPr>
      </w:pPr>
    </w:p>
    <w:p w14:paraId="106D709E" w14:textId="77777777" w:rsidR="003F4616" w:rsidRPr="004B2CD7" w:rsidRDefault="003F4616" w:rsidP="003F4616">
      <w:pPr>
        <w:pStyle w:val="Heading4"/>
        <w:spacing w:before="0" w:line="540" w:lineRule="atLeast"/>
        <w:jc w:val="both"/>
        <w:textAlignment w:val="baseline"/>
        <w:rPr>
          <w:rFonts w:ascii="&amp;quot" w:eastAsia="Times New Roman" w:hAnsi="&amp;quot" w:cs="Times New Roman"/>
          <w:i w:val="0"/>
          <w:iCs w:val="0"/>
          <w:color w:val="333333"/>
          <w:sz w:val="29"/>
          <w:szCs w:val="27"/>
        </w:rPr>
      </w:pPr>
    </w:p>
    <w:p w14:paraId="5186288D" w14:textId="77777777" w:rsidR="003F4616" w:rsidRDefault="003F4616" w:rsidP="003F4616">
      <w:pPr>
        <w:pStyle w:val="Heading4"/>
        <w:spacing w:before="0" w:line="540" w:lineRule="atLeast"/>
        <w:jc w:val="both"/>
        <w:textAlignment w:val="baseline"/>
        <w:rPr>
          <w:rFonts w:ascii="&amp;quot" w:eastAsia="Times New Roman" w:hAnsi="&amp;quot" w:cs="Times New Roman"/>
          <w:i w:val="0"/>
          <w:iCs w:val="0"/>
          <w:color w:val="333333"/>
          <w:sz w:val="27"/>
          <w:szCs w:val="27"/>
        </w:rPr>
      </w:pPr>
    </w:p>
    <w:p w14:paraId="22CE8A2F" w14:textId="77777777" w:rsidR="003F4616" w:rsidRDefault="003F4616" w:rsidP="003F4616">
      <w:pPr>
        <w:pStyle w:val="Heading4"/>
        <w:spacing w:before="0" w:line="540" w:lineRule="atLeast"/>
        <w:jc w:val="both"/>
        <w:textAlignment w:val="baseline"/>
        <w:rPr>
          <w:rFonts w:ascii="&amp;quot" w:eastAsia="Times New Roman" w:hAnsi="&amp;quot" w:cs="Times New Roman"/>
          <w:i w:val="0"/>
          <w:iCs w:val="0"/>
          <w:color w:val="333333"/>
          <w:sz w:val="27"/>
          <w:szCs w:val="27"/>
        </w:rPr>
      </w:pPr>
      <w:r>
        <w:rPr>
          <w:noProof/>
        </w:rPr>
        <w:drawing>
          <wp:inline distT="0" distB="0" distL="0" distR="0" wp14:anchorId="419DDEEE" wp14:editId="211EFF11">
            <wp:extent cx="1460500" cy="1199487"/>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266" cy="1260891"/>
                    </a:xfrm>
                    <a:prstGeom prst="rect">
                      <a:avLst/>
                    </a:prstGeom>
                    <a:noFill/>
                    <a:ln>
                      <a:noFill/>
                    </a:ln>
                  </pic:spPr>
                </pic:pic>
              </a:graphicData>
            </a:graphic>
          </wp:inline>
        </w:drawing>
      </w:r>
      <w:r w:rsidRPr="004B0438">
        <w:rPr>
          <w:rFonts w:ascii="&amp;quot" w:eastAsia="Times New Roman" w:hAnsi="&amp;quot" w:cs="Times New Roman"/>
          <w:i w:val="0"/>
          <w:iCs w:val="0"/>
          <w:color w:val="333333"/>
          <w:sz w:val="27"/>
          <w:szCs w:val="27"/>
        </w:rPr>
        <w:t xml:space="preserve"> </w:t>
      </w:r>
    </w:p>
    <w:p w14:paraId="6897E232" w14:textId="77777777" w:rsidR="003F4616" w:rsidRPr="004B0438" w:rsidRDefault="003F4616" w:rsidP="003F4616">
      <w:pPr>
        <w:pStyle w:val="Heading4"/>
        <w:spacing w:before="0" w:line="540" w:lineRule="atLeast"/>
        <w:jc w:val="both"/>
        <w:textAlignment w:val="baseline"/>
        <w:rPr>
          <w:rFonts w:ascii="&amp;quot" w:eastAsia="Times New Roman" w:hAnsi="&amp;quot" w:cs="Times New Roman"/>
          <w:i w:val="0"/>
          <w:iCs w:val="0"/>
          <w:color w:val="333333"/>
          <w:sz w:val="27"/>
          <w:szCs w:val="27"/>
        </w:rPr>
      </w:pPr>
      <w:r w:rsidRPr="004B0438">
        <w:rPr>
          <w:rFonts w:ascii="&amp;quot" w:eastAsia="Times New Roman" w:hAnsi="&amp;quot" w:cs="Times New Roman"/>
          <w:i w:val="0"/>
          <w:iCs w:val="0"/>
          <w:color w:val="333333"/>
          <w:sz w:val="27"/>
          <w:szCs w:val="27"/>
        </w:rPr>
        <w:t>Seth J. Buckley, CFP®, CLU®, ChFC®, MSFS, AEP®, TEP</w:t>
      </w:r>
    </w:p>
    <w:p w14:paraId="25CD900D" w14:textId="187A8558" w:rsidR="00E04B7A" w:rsidRDefault="003F4616" w:rsidP="004B2CD7">
      <w:pPr>
        <w:spacing w:after="0" w:line="357" w:lineRule="atLeast"/>
        <w:jc w:val="both"/>
        <w:textAlignment w:val="baseline"/>
      </w:pPr>
      <w:r w:rsidRPr="004B0438">
        <w:rPr>
          <w:rFonts w:eastAsia="Times New Roman" w:cstheme="minorHAnsi"/>
          <w:color w:val="666666"/>
          <w:sz w:val="24"/>
          <w:szCs w:val="24"/>
        </w:rPr>
        <w:t xml:space="preserve">Seth J. Buckley is President of Buckley Financial </w:t>
      </w:r>
      <w:r w:rsidRPr="004B0438">
        <w:rPr>
          <w:rFonts w:cstheme="minorHAnsi"/>
          <w:color w:val="666666"/>
          <w:sz w:val="24"/>
          <w:szCs w:val="24"/>
        </w:rPr>
        <w:t>an independent life insurance brokerage and consulting firm specializing in the structuring and administration of life insurance portfolios for affluent families and businesses.</w:t>
      </w:r>
      <w:r w:rsidR="00D31A56">
        <w:rPr>
          <w:rFonts w:cstheme="minorHAnsi"/>
          <w:color w:val="666666"/>
          <w:sz w:val="24"/>
          <w:szCs w:val="24"/>
        </w:rPr>
        <w:t xml:space="preserve">  He can be reached at seth@buckley-financial.com</w:t>
      </w:r>
    </w:p>
    <w:sectPr w:rsidR="00E04B7A" w:rsidSect="003F4616">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7A"/>
    <w:rsid w:val="000248F7"/>
    <w:rsid w:val="000B4EB9"/>
    <w:rsid w:val="000C5ED6"/>
    <w:rsid w:val="001C72D1"/>
    <w:rsid w:val="001C74AD"/>
    <w:rsid w:val="001D7E77"/>
    <w:rsid w:val="0021125A"/>
    <w:rsid w:val="00234146"/>
    <w:rsid w:val="003907C2"/>
    <w:rsid w:val="003E781C"/>
    <w:rsid w:val="003F4616"/>
    <w:rsid w:val="00494CAD"/>
    <w:rsid w:val="004B00F2"/>
    <w:rsid w:val="004B0438"/>
    <w:rsid w:val="004B2CD7"/>
    <w:rsid w:val="004F1BBD"/>
    <w:rsid w:val="00506A9A"/>
    <w:rsid w:val="005444B1"/>
    <w:rsid w:val="005C52BA"/>
    <w:rsid w:val="005D07A9"/>
    <w:rsid w:val="005E1A5C"/>
    <w:rsid w:val="007465EF"/>
    <w:rsid w:val="007657D8"/>
    <w:rsid w:val="007A7622"/>
    <w:rsid w:val="008940DA"/>
    <w:rsid w:val="00970E27"/>
    <w:rsid w:val="00982282"/>
    <w:rsid w:val="009B5E5C"/>
    <w:rsid w:val="00A56999"/>
    <w:rsid w:val="00A615BF"/>
    <w:rsid w:val="00A652E4"/>
    <w:rsid w:val="00A9400D"/>
    <w:rsid w:val="00AE2905"/>
    <w:rsid w:val="00B37489"/>
    <w:rsid w:val="00B628AA"/>
    <w:rsid w:val="00C53FA3"/>
    <w:rsid w:val="00CA4CD7"/>
    <w:rsid w:val="00CA4F23"/>
    <w:rsid w:val="00CB3213"/>
    <w:rsid w:val="00CE0B38"/>
    <w:rsid w:val="00CE2354"/>
    <w:rsid w:val="00D31A56"/>
    <w:rsid w:val="00E04B7A"/>
    <w:rsid w:val="00E46220"/>
    <w:rsid w:val="00F15BA0"/>
    <w:rsid w:val="00F25903"/>
    <w:rsid w:val="00F27811"/>
    <w:rsid w:val="00F61241"/>
    <w:rsid w:val="00F80A48"/>
    <w:rsid w:val="00FA3C16"/>
    <w:rsid w:val="00FF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C47F"/>
  <w15:chartTrackingRefBased/>
  <w15:docId w15:val="{986CA5DF-33AD-43AB-A113-C126A0B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112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1125A"/>
    <w:rPr>
      <w:rFonts w:asciiTheme="majorHAnsi" w:eastAsiaTheme="majorEastAsia" w:hAnsiTheme="majorHAnsi" w:cstheme="majorBidi"/>
      <w:i/>
      <w:iCs/>
      <w:color w:val="2F5496" w:themeColor="accent1" w:themeShade="BF"/>
    </w:rPr>
  </w:style>
  <w:style w:type="paragraph" w:styleId="NoSpacing">
    <w:name w:val="No Spacing"/>
    <w:uiPriority w:val="1"/>
    <w:qFormat/>
    <w:rsid w:val="004B00F2"/>
    <w:pPr>
      <w:spacing w:after="0" w:line="240" w:lineRule="auto"/>
    </w:pPr>
  </w:style>
  <w:style w:type="paragraph" w:customStyle="1" w:styleId="Default">
    <w:name w:val="Default"/>
    <w:rsid w:val="004B00F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4B00F2"/>
    <w:pPr>
      <w:spacing w:line="241" w:lineRule="atLeast"/>
    </w:pPr>
    <w:rPr>
      <w:rFonts w:cstheme="minorBidi"/>
      <w:color w:val="auto"/>
    </w:rPr>
  </w:style>
  <w:style w:type="paragraph" w:customStyle="1" w:styleId="Pa1">
    <w:name w:val="Pa1"/>
    <w:basedOn w:val="Default"/>
    <w:next w:val="Default"/>
    <w:uiPriority w:val="99"/>
    <w:rsid w:val="004B00F2"/>
    <w:pPr>
      <w:spacing w:line="241" w:lineRule="atLeast"/>
    </w:pPr>
    <w:rPr>
      <w:rFonts w:cstheme="minorBidi"/>
      <w:color w:val="auto"/>
    </w:rPr>
  </w:style>
  <w:style w:type="character" w:customStyle="1" w:styleId="A0">
    <w:name w:val="A0"/>
    <w:uiPriority w:val="99"/>
    <w:rsid w:val="004B00F2"/>
    <w:rPr>
      <w:rFonts w:cs="Century Gothic"/>
      <w:color w:val="000000"/>
      <w:sz w:val="20"/>
      <w:szCs w:val="20"/>
    </w:rPr>
  </w:style>
  <w:style w:type="paragraph" w:customStyle="1" w:styleId="Pa2">
    <w:name w:val="Pa2"/>
    <w:basedOn w:val="Default"/>
    <w:next w:val="Default"/>
    <w:uiPriority w:val="99"/>
    <w:rsid w:val="004B00F2"/>
    <w:pPr>
      <w:spacing w:line="241" w:lineRule="atLeast"/>
    </w:pPr>
    <w:rPr>
      <w:rFonts w:cstheme="minorBidi"/>
      <w:color w:val="auto"/>
    </w:rPr>
  </w:style>
  <w:style w:type="paragraph" w:customStyle="1" w:styleId="Pa3">
    <w:name w:val="Pa3"/>
    <w:basedOn w:val="Default"/>
    <w:next w:val="Default"/>
    <w:uiPriority w:val="99"/>
    <w:rsid w:val="004B00F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Buckley</dc:creator>
  <cp:keywords/>
  <dc:description/>
  <cp:lastModifiedBy>Laurence Stybel</cp:lastModifiedBy>
  <cp:revision>2</cp:revision>
  <dcterms:created xsi:type="dcterms:W3CDTF">2018-11-05T13:11:00Z</dcterms:created>
  <dcterms:modified xsi:type="dcterms:W3CDTF">2018-11-05T13:11:00Z</dcterms:modified>
</cp:coreProperties>
</file>